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ct 1039 of 2017 Reporting By Schools  (Ark. Code Ann. § 6-41-606 (b)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iendship Aspire Arkansa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yslexia Progr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uring the 2022-2023 school year, Friendship Aspire Arkansas Public Charter Schools used th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videnced-based Take Flight Dyslexia Intervention Program and Alphabetic Phonics Dyslexia Intervention Program in small group intervention to address the deficit areas of students identified as exhibiting the characteristics of dyslexi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ber of Students Who Received Dyslexia Interven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uring the 2022-2023 school year, 31 students attending Friendship Aspire Arkansas Public Charter Schools received dyslexia intervention services from a trained dyslexi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erventionis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otal Number of Students Identified as Exhibiting the Characteristics o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yslexia During the 2022-2023, school year, 31 students attending  Friendship Aspire Arkansas Public Charter Schools were identified as exhibiting the characteristics o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yslexi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